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FD6C" w14:textId="77777777" w:rsidR="00FA79A1" w:rsidRPr="008F0D76" w:rsidRDefault="00FA79A1" w:rsidP="00FA79A1">
      <w:pPr>
        <w:tabs>
          <w:tab w:val="center" w:pos="4536"/>
          <w:tab w:val="center" w:pos="4999"/>
          <w:tab w:val="left" w:pos="7800"/>
          <w:tab w:val="right" w:pos="9638"/>
        </w:tabs>
        <w:ind w:left="360"/>
        <w:rPr>
          <w:noProof/>
        </w:rPr>
      </w:pPr>
      <w:r>
        <w:rPr>
          <w:noProof/>
        </w:rPr>
        <w:tab/>
      </w:r>
      <w:r>
        <w:rPr>
          <w:noProof/>
          <w:lang w:eastAsia="et-EE"/>
        </w:rPr>
        <w:drawing>
          <wp:anchor distT="0" distB="0" distL="114300" distR="114300" simplePos="0" relativeHeight="251659264" behindDoc="0" locked="0" layoutInCell="1" allowOverlap="1" wp14:anchorId="6202D946" wp14:editId="22564F43">
            <wp:simplePos x="0" y="0"/>
            <wp:positionH relativeFrom="column">
              <wp:posOffset>2514600</wp:posOffset>
            </wp:positionH>
            <wp:positionV relativeFrom="paragraph">
              <wp:posOffset>196850</wp:posOffset>
            </wp:positionV>
            <wp:extent cx="742950" cy="819150"/>
            <wp:effectExtent l="0" t="0" r="0" b="0"/>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pic:spPr>
                </pic:pic>
              </a:graphicData>
            </a:graphic>
            <wp14:sizeRelH relativeFrom="page">
              <wp14:pctWidth>0</wp14:pctWidth>
            </wp14:sizeRelH>
            <wp14:sizeRelV relativeFrom="page">
              <wp14:pctHeight>0</wp14:pctHeight>
            </wp14:sizeRelV>
          </wp:anchor>
        </w:drawing>
      </w:r>
    </w:p>
    <w:p w14:paraId="693CD958" w14:textId="77777777" w:rsidR="00FA79A1" w:rsidRPr="00680760" w:rsidRDefault="00FA79A1" w:rsidP="00FA79A1">
      <w:pPr>
        <w:tabs>
          <w:tab w:val="center" w:pos="4536"/>
          <w:tab w:val="left" w:pos="7800"/>
        </w:tabs>
        <w:jc w:val="right"/>
        <w:rPr>
          <w:b/>
          <w:noProof/>
          <w:sz w:val="16"/>
          <w:szCs w:val="16"/>
        </w:rPr>
      </w:pPr>
      <w:r w:rsidRPr="008F0D76">
        <w:rPr>
          <w:b/>
          <w:noProof/>
        </w:rPr>
        <w:br w:type="textWrapping" w:clear="all"/>
      </w:r>
    </w:p>
    <w:p w14:paraId="5E6AFF40" w14:textId="77777777" w:rsidR="00FA79A1" w:rsidRPr="00680760" w:rsidRDefault="00FA79A1" w:rsidP="00FA79A1">
      <w:pPr>
        <w:pStyle w:val="Pis"/>
        <w:tabs>
          <w:tab w:val="clear" w:pos="9072"/>
          <w:tab w:val="center" w:pos="4320"/>
          <w:tab w:val="center" w:pos="4394"/>
          <w:tab w:val="right" w:pos="9720"/>
        </w:tabs>
        <w:jc w:val="center"/>
        <w:rPr>
          <w:noProof/>
          <w:spacing w:val="70"/>
          <w:sz w:val="44"/>
          <w:szCs w:val="44"/>
        </w:rPr>
      </w:pPr>
      <w:r w:rsidRPr="00680760">
        <w:rPr>
          <w:noProof/>
          <w:spacing w:val="70"/>
          <w:sz w:val="44"/>
          <w:szCs w:val="44"/>
        </w:rPr>
        <w:t>KOHTUMÄÄRUS</w:t>
      </w:r>
    </w:p>
    <w:p w14:paraId="49CF24DF" w14:textId="77777777" w:rsidR="00FA79A1" w:rsidRDefault="00FA79A1" w:rsidP="00FA79A1">
      <w:pPr>
        <w:pStyle w:val="Pis"/>
        <w:rPr>
          <w:noProof/>
          <w:sz w:val="10"/>
          <w:szCs w:val="10"/>
        </w:rPr>
      </w:pPr>
    </w:p>
    <w:tbl>
      <w:tblPr>
        <w:tblpPr w:leftFromText="141" w:rightFromText="141" w:vertAnchor="text" w:horzAnchor="margin" w:tblpX="-176" w:tblpY="303"/>
        <w:tblW w:w="9572" w:type="dxa"/>
        <w:tblLook w:val="01E0" w:firstRow="1" w:lastRow="1" w:firstColumn="1" w:lastColumn="1" w:noHBand="0" w:noVBand="0"/>
      </w:tblPr>
      <w:tblGrid>
        <w:gridCol w:w="3686"/>
        <w:gridCol w:w="5886"/>
      </w:tblGrid>
      <w:tr w:rsidR="00FA79A1" w:rsidRPr="009B238E" w14:paraId="14A5C579" w14:textId="77777777" w:rsidTr="000F4370">
        <w:trPr>
          <w:trHeight w:val="183"/>
        </w:trPr>
        <w:tc>
          <w:tcPr>
            <w:tcW w:w="3686" w:type="dxa"/>
          </w:tcPr>
          <w:p w14:paraId="2AC66B0F" w14:textId="77777777" w:rsidR="00FA79A1" w:rsidRPr="009B238E" w:rsidRDefault="00FA79A1" w:rsidP="000F4370">
            <w:pPr>
              <w:spacing w:before="80" w:after="80"/>
              <w:ind w:right="-15"/>
              <w:jc w:val="both"/>
              <w:rPr>
                <w:b/>
                <w:lang w:eastAsia="et-EE"/>
              </w:rPr>
            </w:pPr>
            <w:r w:rsidRPr="009B238E">
              <w:rPr>
                <w:b/>
                <w:lang w:eastAsia="et-EE"/>
              </w:rPr>
              <w:t>Kohus</w:t>
            </w:r>
          </w:p>
        </w:tc>
        <w:tc>
          <w:tcPr>
            <w:tcW w:w="5886" w:type="dxa"/>
          </w:tcPr>
          <w:p w14:paraId="1905F572" w14:textId="77777777" w:rsidR="00FA79A1" w:rsidRPr="009B238E" w:rsidRDefault="00FA79A1" w:rsidP="000F4370">
            <w:pPr>
              <w:spacing w:before="80" w:after="80"/>
              <w:ind w:right="-15"/>
              <w:jc w:val="both"/>
              <w:rPr>
                <w:lang w:eastAsia="et-EE"/>
              </w:rPr>
            </w:pPr>
            <w:r w:rsidRPr="009B238E">
              <w:rPr>
                <w:lang w:eastAsia="et-EE"/>
              </w:rPr>
              <w:t>Viru Maakohus</w:t>
            </w:r>
          </w:p>
        </w:tc>
      </w:tr>
      <w:tr w:rsidR="00FA79A1" w:rsidRPr="009B238E" w14:paraId="1779D118" w14:textId="77777777" w:rsidTr="000F4370">
        <w:trPr>
          <w:trHeight w:val="183"/>
        </w:trPr>
        <w:tc>
          <w:tcPr>
            <w:tcW w:w="3686" w:type="dxa"/>
          </w:tcPr>
          <w:p w14:paraId="36956922" w14:textId="77777777" w:rsidR="00FA79A1" w:rsidRPr="009B238E" w:rsidRDefault="00FA79A1" w:rsidP="000F4370">
            <w:pPr>
              <w:spacing w:before="80" w:after="80"/>
              <w:ind w:right="-15"/>
              <w:jc w:val="both"/>
              <w:rPr>
                <w:b/>
                <w:lang w:eastAsia="et-EE"/>
              </w:rPr>
            </w:pPr>
            <w:r>
              <w:rPr>
                <w:b/>
                <w:lang w:eastAsia="et-EE"/>
              </w:rPr>
              <w:t>K</w:t>
            </w:r>
            <w:r w:rsidRPr="009B238E">
              <w:rPr>
                <w:b/>
                <w:lang w:eastAsia="et-EE"/>
              </w:rPr>
              <w:t>ohtunik</w:t>
            </w:r>
          </w:p>
        </w:tc>
        <w:tc>
          <w:tcPr>
            <w:tcW w:w="5886" w:type="dxa"/>
          </w:tcPr>
          <w:p w14:paraId="1CEEFD58" w14:textId="77777777" w:rsidR="00FA79A1" w:rsidRPr="009B238E" w:rsidRDefault="00C3266F" w:rsidP="000F4370">
            <w:pPr>
              <w:spacing w:before="80" w:after="80"/>
              <w:ind w:right="-15"/>
              <w:jc w:val="both"/>
              <w:rPr>
                <w:lang w:eastAsia="et-EE"/>
              </w:rPr>
            </w:pPr>
            <w:sdt>
              <w:sdtPr>
                <w:rPr>
                  <w:lang w:eastAsia="et-EE"/>
                </w:rPr>
                <w:alias w:val="KohtukoosseisuEesistuja"/>
                <w:tag w:val="KohtukoosseisuEesistuja"/>
                <w:id w:val="326099586"/>
                <w:text/>
              </w:sdtPr>
              <w:sdtEndPr/>
              <w:sdtContent>
                <w:r w:rsidR="00FA79A1" w:rsidRPr="009B238E">
                  <w:rPr>
                    <w:lang w:eastAsia="et-EE"/>
                  </w:rPr>
                  <w:t xml:space="preserve">Nele Teelahk </w:t>
                </w:r>
              </w:sdtContent>
            </w:sdt>
          </w:p>
        </w:tc>
      </w:tr>
      <w:tr w:rsidR="00FA79A1" w:rsidRPr="009B238E" w14:paraId="19B8B667" w14:textId="77777777" w:rsidTr="000F4370">
        <w:trPr>
          <w:trHeight w:val="80"/>
        </w:trPr>
        <w:tc>
          <w:tcPr>
            <w:tcW w:w="3686" w:type="dxa"/>
          </w:tcPr>
          <w:p w14:paraId="37573B12" w14:textId="77777777" w:rsidR="00FA79A1" w:rsidRPr="00683D62" w:rsidRDefault="00FA79A1" w:rsidP="000F4370">
            <w:pPr>
              <w:spacing w:before="80" w:after="80"/>
              <w:ind w:right="-15"/>
              <w:jc w:val="both"/>
              <w:rPr>
                <w:b/>
                <w:lang w:eastAsia="et-EE"/>
              </w:rPr>
            </w:pPr>
            <w:r w:rsidRPr="00683D62">
              <w:rPr>
                <w:b/>
                <w:lang w:eastAsia="et-EE"/>
              </w:rPr>
              <w:t>Määruse tegemise aeg ja koht</w:t>
            </w:r>
          </w:p>
        </w:tc>
        <w:tc>
          <w:tcPr>
            <w:tcW w:w="5886" w:type="dxa"/>
          </w:tcPr>
          <w:p w14:paraId="2881E19B" w14:textId="5A9FB7E8" w:rsidR="00FA79A1" w:rsidRPr="00683D62" w:rsidRDefault="006B7A23" w:rsidP="000F4370">
            <w:pPr>
              <w:tabs>
                <w:tab w:val="left" w:pos="2487"/>
              </w:tabs>
              <w:spacing w:before="80" w:after="80"/>
              <w:ind w:right="-15"/>
              <w:jc w:val="both"/>
              <w:rPr>
                <w:lang w:eastAsia="et-EE"/>
              </w:rPr>
            </w:pPr>
            <w:r w:rsidRPr="00C3266F">
              <w:rPr>
                <w:lang w:eastAsia="et-EE"/>
              </w:rPr>
              <w:t>1</w:t>
            </w:r>
            <w:r w:rsidR="00C3266F" w:rsidRPr="00C3266F">
              <w:rPr>
                <w:lang w:eastAsia="et-EE"/>
              </w:rPr>
              <w:t>5</w:t>
            </w:r>
            <w:r w:rsidR="006121A8" w:rsidRPr="00C3266F">
              <w:rPr>
                <w:lang w:eastAsia="et-EE"/>
              </w:rPr>
              <w:t>. aprill</w:t>
            </w:r>
            <w:r w:rsidR="00FA79A1" w:rsidRPr="00C3266F">
              <w:rPr>
                <w:lang w:eastAsia="et-EE"/>
              </w:rPr>
              <w:t xml:space="preserve"> 2025, Jõhvi</w:t>
            </w:r>
          </w:p>
        </w:tc>
      </w:tr>
      <w:tr w:rsidR="00FA79A1" w:rsidRPr="009B238E" w14:paraId="4B1528F4" w14:textId="77777777" w:rsidTr="000F4370">
        <w:trPr>
          <w:trHeight w:val="80"/>
        </w:trPr>
        <w:tc>
          <w:tcPr>
            <w:tcW w:w="3686" w:type="dxa"/>
          </w:tcPr>
          <w:p w14:paraId="5E3A3EA5" w14:textId="77777777" w:rsidR="00FA79A1" w:rsidRPr="00683D62" w:rsidRDefault="00FA79A1" w:rsidP="000F4370">
            <w:pPr>
              <w:spacing w:before="80" w:after="80"/>
              <w:ind w:right="-15"/>
              <w:jc w:val="both"/>
              <w:rPr>
                <w:b/>
                <w:lang w:eastAsia="et-EE"/>
              </w:rPr>
            </w:pPr>
            <w:r w:rsidRPr="00683D62">
              <w:rPr>
                <w:b/>
                <w:lang w:eastAsia="et-EE"/>
              </w:rPr>
              <w:t>Tsiviilasja number</w:t>
            </w:r>
          </w:p>
        </w:tc>
        <w:tc>
          <w:tcPr>
            <w:tcW w:w="5886" w:type="dxa"/>
          </w:tcPr>
          <w:p w14:paraId="7B8226BD" w14:textId="6BE12C23" w:rsidR="00FA79A1" w:rsidRPr="00683D62" w:rsidRDefault="00FA79A1" w:rsidP="000F4370">
            <w:pPr>
              <w:tabs>
                <w:tab w:val="left" w:pos="2487"/>
              </w:tabs>
              <w:spacing w:before="80" w:after="80"/>
              <w:ind w:right="-15"/>
              <w:jc w:val="both"/>
              <w:rPr>
                <w:lang w:eastAsia="et-EE"/>
              </w:rPr>
            </w:pPr>
            <w:bookmarkStart w:id="0" w:name="_Hlk194929866"/>
            <w:r w:rsidRPr="00FA79A1">
              <w:rPr>
                <w:lang w:eastAsia="et-EE"/>
              </w:rPr>
              <w:t>2-</w:t>
            </w:r>
            <w:r w:rsidR="006121A8">
              <w:rPr>
                <w:lang w:eastAsia="et-EE"/>
              </w:rPr>
              <w:t>25-</w:t>
            </w:r>
            <w:bookmarkEnd w:id="0"/>
            <w:r w:rsidR="00A460AC">
              <w:rPr>
                <w:lang w:eastAsia="et-EE"/>
              </w:rPr>
              <w:t>5433</w:t>
            </w:r>
          </w:p>
        </w:tc>
      </w:tr>
      <w:tr w:rsidR="00FA79A1" w:rsidRPr="009B238E" w14:paraId="13E2C7B6" w14:textId="77777777" w:rsidTr="000F4370">
        <w:trPr>
          <w:trHeight w:val="80"/>
        </w:trPr>
        <w:tc>
          <w:tcPr>
            <w:tcW w:w="3686" w:type="dxa"/>
          </w:tcPr>
          <w:p w14:paraId="05D10212" w14:textId="77777777" w:rsidR="00FA79A1" w:rsidRPr="00683D62" w:rsidRDefault="00FA79A1" w:rsidP="000F4370">
            <w:pPr>
              <w:spacing w:before="80" w:after="80"/>
              <w:ind w:right="-15"/>
              <w:jc w:val="both"/>
              <w:rPr>
                <w:b/>
                <w:lang w:eastAsia="et-EE"/>
              </w:rPr>
            </w:pPr>
            <w:r w:rsidRPr="009B238E">
              <w:rPr>
                <w:b/>
                <w:lang w:eastAsia="et-EE"/>
              </w:rPr>
              <w:t>Kohtuasi</w:t>
            </w:r>
          </w:p>
        </w:tc>
        <w:tc>
          <w:tcPr>
            <w:tcW w:w="5886" w:type="dxa"/>
          </w:tcPr>
          <w:p w14:paraId="3E490F75" w14:textId="34A4F6B9" w:rsidR="00FA79A1" w:rsidRPr="007D3D76" w:rsidRDefault="006B7A23" w:rsidP="000F4370">
            <w:pPr>
              <w:tabs>
                <w:tab w:val="left" w:pos="2487"/>
              </w:tabs>
              <w:spacing w:before="80" w:after="80"/>
              <w:ind w:right="-15"/>
              <w:jc w:val="both"/>
              <w:rPr>
                <w:b/>
                <w:bCs/>
                <w:lang w:eastAsia="et-EE"/>
              </w:rPr>
            </w:pPr>
            <w:r>
              <w:rPr>
                <w:b/>
                <w:bCs/>
                <w:lang w:eastAsia="et-EE"/>
              </w:rPr>
              <w:t>Evelin Pohla</w:t>
            </w:r>
            <w:r w:rsidR="00B60210">
              <w:rPr>
                <w:b/>
                <w:bCs/>
                <w:lang w:eastAsia="et-EE"/>
              </w:rPr>
              <w:t xml:space="preserve"> </w:t>
            </w:r>
            <w:r w:rsidR="00FA79A1" w:rsidRPr="00DF62FA">
              <w:rPr>
                <w:b/>
                <w:bCs/>
                <w:lang w:eastAsia="et-EE"/>
              </w:rPr>
              <w:t>maksejõuetusavaldus</w:t>
            </w:r>
          </w:p>
        </w:tc>
      </w:tr>
      <w:tr w:rsidR="00FA79A1" w:rsidRPr="009B238E" w14:paraId="0F8F217E" w14:textId="77777777" w:rsidTr="000F4370">
        <w:trPr>
          <w:trHeight w:val="80"/>
        </w:trPr>
        <w:tc>
          <w:tcPr>
            <w:tcW w:w="3686" w:type="dxa"/>
          </w:tcPr>
          <w:p w14:paraId="7E143A2D" w14:textId="77777777" w:rsidR="00FA79A1" w:rsidRPr="009B238E" w:rsidRDefault="00FA79A1" w:rsidP="000F4370">
            <w:pPr>
              <w:spacing w:before="80" w:after="80"/>
              <w:ind w:right="-15"/>
              <w:rPr>
                <w:b/>
                <w:lang w:eastAsia="et-EE"/>
              </w:rPr>
            </w:pPr>
            <w:r>
              <w:rPr>
                <w:b/>
                <w:lang w:eastAsia="et-EE"/>
              </w:rPr>
              <w:t>Menetlusosalised ja nende esindajad</w:t>
            </w:r>
          </w:p>
        </w:tc>
        <w:tc>
          <w:tcPr>
            <w:tcW w:w="5886" w:type="dxa"/>
          </w:tcPr>
          <w:p w14:paraId="6908BEDD" w14:textId="29ACAACC" w:rsidR="00FA79A1" w:rsidRPr="00DE746B" w:rsidRDefault="00FA79A1" w:rsidP="000F4370">
            <w:pPr>
              <w:tabs>
                <w:tab w:val="left" w:pos="2487"/>
              </w:tabs>
              <w:spacing w:before="80" w:after="80"/>
              <w:ind w:right="-15"/>
              <w:jc w:val="both"/>
              <w:rPr>
                <w:color w:val="000000"/>
              </w:rPr>
            </w:pPr>
            <w:r>
              <w:rPr>
                <w:b/>
                <w:bCs/>
                <w:color w:val="000000"/>
              </w:rPr>
              <w:t xml:space="preserve">Avaldaja (võlgnik): </w:t>
            </w:r>
            <w:r w:rsidR="006B7A23">
              <w:rPr>
                <w:b/>
                <w:bCs/>
                <w:color w:val="000000"/>
              </w:rPr>
              <w:t xml:space="preserve">Evelin Pohla </w:t>
            </w:r>
            <w:r w:rsidR="006B7A23" w:rsidRPr="006B7A23">
              <w:rPr>
                <w:color w:val="000000"/>
              </w:rPr>
              <w:t>(isikukood 46803205215)</w:t>
            </w:r>
          </w:p>
        </w:tc>
      </w:tr>
      <w:tr w:rsidR="00FA79A1" w:rsidRPr="009B238E" w14:paraId="639511EE" w14:textId="77777777" w:rsidTr="000F4370">
        <w:trPr>
          <w:trHeight w:val="80"/>
        </w:trPr>
        <w:tc>
          <w:tcPr>
            <w:tcW w:w="3686" w:type="dxa"/>
          </w:tcPr>
          <w:p w14:paraId="0104A642" w14:textId="77777777" w:rsidR="00FA79A1" w:rsidRDefault="00FA79A1" w:rsidP="000F4370">
            <w:pPr>
              <w:spacing w:before="80" w:after="80"/>
              <w:ind w:right="-15"/>
              <w:rPr>
                <w:b/>
                <w:lang w:eastAsia="et-EE"/>
              </w:rPr>
            </w:pPr>
            <w:r>
              <w:rPr>
                <w:b/>
                <w:lang w:eastAsia="et-EE"/>
              </w:rPr>
              <w:t>Menetlustoiming</w:t>
            </w:r>
          </w:p>
        </w:tc>
        <w:tc>
          <w:tcPr>
            <w:tcW w:w="5886" w:type="dxa"/>
          </w:tcPr>
          <w:p w14:paraId="2A6AF065" w14:textId="77777777" w:rsidR="00FA79A1" w:rsidRPr="003D4E3A" w:rsidRDefault="00FA79A1" w:rsidP="000F4370">
            <w:pPr>
              <w:tabs>
                <w:tab w:val="left" w:pos="2487"/>
              </w:tabs>
              <w:spacing w:before="80" w:after="80"/>
              <w:ind w:right="-15"/>
              <w:jc w:val="both"/>
              <w:rPr>
                <w:lang w:eastAsia="et-EE"/>
              </w:rPr>
            </w:pPr>
            <w:r>
              <w:rPr>
                <w:lang w:eastAsia="et-EE"/>
              </w:rPr>
              <w:t>Avalduse menetlusse võtmine</w:t>
            </w:r>
          </w:p>
        </w:tc>
      </w:tr>
      <w:tr w:rsidR="00FA79A1" w:rsidRPr="009B238E" w14:paraId="7360106C" w14:textId="77777777" w:rsidTr="000F4370">
        <w:trPr>
          <w:trHeight w:val="67"/>
        </w:trPr>
        <w:tc>
          <w:tcPr>
            <w:tcW w:w="3686" w:type="dxa"/>
          </w:tcPr>
          <w:p w14:paraId="68DDC87D" w14:textId="77777777" w:rsidR="00FA79A1" w:rsidRPr="009B238E" w:rsidRDefault="00FA79A1" w:rsidP="000F4370">
            <w:pPr>
              <w:spacing w:before="80" w:after="80"/>
              <w:ind w:right="-15"/>
              <w:jc w:val="both"/>
              <w:rPr>
                <w:b/>
                <w:lang w:eastAsia="et-EE"/>
              </w:rPr>
            </w:pPr>
          </w:p>
        </w:tc>
        <w:tc>
          <w:tcPr>
            <w:tcW w:w="5886" w:type="dxa"/>
          </w:tcPr>
          <w:p w14:paraId="1F6150A8" w14:textId="77777777" w:rsidR="00FA79A1" w:rsidRPr="009B238E" w:rsidRDefault="00FA79A1" w:rsidP="000F4370">
            <w:pPr>
              <w:tabs>
                <w:tab w:val="left" w:pos="2487"/>
              </w:tabs>
              <w:spacing w:before="80" w:after="80"/>
              <w:ind w:right="-15"/>
              <w:jc w:val="both"/>
              <w:rPr>
                <w:lang w:eastAsia="et-EE"/>
              </w:rPr>
            </w:pPr>
          </w:p>
        </w:tc>
      </w:tr>
      <w:tr w:rsidR="00FA79A1" w:rsidRPr="009B238E" w14:paraId="5B15F484" w14:textId="77777777" w:rsidTr="000F4370">
        <w:trPr>
          <w:trHeight w:val="80"/>
        </w:trPr>
        <w:tc>
          <w:tcPr>
            <w:tcW w:w="3686" w:type="dxa"/>
          </w:tcPr>
          <w:p w14:paraId="476305CE" w14:textId="77777777" w:rsidR="00FA79A1" w:rsidRDefault="00FA79A1" w:rsidP="000F4370">
            <w:pPr>
              <w:spacing w:before="80" w:after="80"/>
              <w:ind w:right="-15"/>
              <w:jc w:val="both"/>
              <w:rPr>
                <w:b/>
                <w:lang w:eastAsia="et-EE"/>
              </w:rPr>
            </w:pPr>
            <w:r>
              <w:rPr>
                <w:b/>
                <w:lang w:eastAsia="et-EE"/>
              </w:rPr>
              <w:t>RESOLUTSIOON</w:t>
            </w:r>
          </w:p>
        </w:tc>
        <w:tc>
          <w:tcPr>
            <w:tcW w:w="5886" w:type="dxa"/>
          </w:tcPr>
          <w:p w14:paraId="3CE2925E" w14:textId="77777777" w:rsidR="00FA79A1" w:rsidRDefault="00FA79A1" w:rsidP="000F4370">
            <w:pPr>
              <w:rPr>
                <w:color w:val="FF0000"/>
                <w:lang w:eastAsia="et-EE"/>
              </w:rPr>
            </w:pPr>
          </w:p>
        </w:tc>
      </w:tr>
    </w:tbl>
    <w:p w14:paraId="74525A05" w14:textId="7C67FE68" w:rsidR="00FA79A1" w:rsidRPr="006C24DF" w:rsidRDefault="00FA79A1" w:rsidP="00FA79A1">
      <w:pPr>
        <w:pStyle w:val="Loendilik"/>
        <w:widowControl w:val="0"/>
        <w:numPr>
          <w:ilvl w:val="0"/>
          <w:numId w:val="1"/>
        </w:numPr>
        <w:overflowPunct w:val="0"/>
        <w:autoSpaceDE w:val="0"/>
        <w:autoSpaceDN w:val="0"/>
        <w:adjustRightInd w:val="0"/>
        <w:spacing w:before="120"/>
        <w:contextualSpacing w:val="0"/>
        <w:jc w:val="both"/>
        <w:textAlignment w:val="baseline"/>
        <w:rPr>
          <w:b/>
          <w:lang w:eastAsia="et-EE"/>
        </w:rPr>
      </w:pPr>
      <w:r w:rsidRPr="006C24DF">
        <w:rPr>
          <w:b/>
        </w:rPr>
        <w:t>Võtta</w:t>
      </w:r>
      <w:r w:rsidRPr="006C24DF">
        <w:rPr>
          <w:b/>
          <w:bCs/>
        </w:rPr>
        <w:t xml:space="preserve"> </w:t>
      </w:r>
      <w:r w:rsidR="006B7A23">
        <w:rPr>
          <w:b/>
        </w:rPr>
        <w:t>Evelin Pohla</w:t>
      </w:r>
      <w:r w:rsidR="00B60210" w:rsidRPr="00B60210">
        <w:rPr>
          <w:b/>
        </w:rPr>
        <w:t xml:space="preserve"> </w:t>
      </w:r>
      <w:r w:rsidRPr="006C24DF">
        <w:rPr>
          <w:b/>
          <w:bCs/>
        </w:rPr>
        <w:t>avaldus</w:t>
      </w:r>
      <w:r w:rsidRPr="006C24DF">
        <w:rPr>
          <w:b/>
        </w:rPr>
        <w:t xml:space="preserve"> menetlusse. </w:t>
      </w:r>
    </w:p>
    <w:p w14:paraId="16546B81" w14:textId="4E580340" w:rsidR="00FA79A1" w:rsidRPr="00A56032" w:rsidRDefault="00FA79A1" w:rsidP="00A56032">
      <w:pPr>
        <w:pStyle w:val="Loendilik"/>
        <w:widowControl w:val="0"/>
        <w:numPr>
          <w:ilvl w:val="0"/>
          <w:numId w:val="1"/>
        </w:numPr>
        <w:overflowPunct w:val="0"/>
        <w:autoSpaceDE w:val="0"/>
        <w:autoSpaceDN w:val="0"/>
        <w:adjustRightInd w:val="0"/>
        <w:spacing w:before="120"/>
        <w:contextualSpacing w:val="0"/>
        <w:jc w:val="both"/>
        <w:textAlignment w:val="baseline"/>
        <w:rPr>
          <w:b/>
          <w:color w:val="FF0000"/>
          <w:lang w:eastAsia="et-EE"/>
        </w:rPr>
      </w:pPr>
      <w:r w:rsidRPr="00A56032">
        <w:rPr>
          <w:b/>
        </w:rPr>
        <w:t>Nimetada</w:t>
      </w:r>
      <w:r w:rsidRPr="00A56032">
        <w:rPr>
          <w:b/>
          <w:bCs/>
        </w:rPr>
        <w:t xml:space="preserve"> </w:t>
      </w:r>
      <w:r w:rsidR="006B7A23">
        <w:rPr>
          <w:b/>
          <w:bCs/>
          <w:color w:val="000000"/>
        </w:rPr>
        <w:t xml:space="preserve">Evelin </w:t>
      </w:r>
      <w:r w:rsidR="00C3266F">
        <w:rPr>
          <w:b/>
          <w:bCs/>
          <w:color w:val="000000"/>
        </w:rPr>
        <w:t>P</w:t>
      </w:r>
      <w:r w:rsidR="006B7A23">
        <w:rPr>
          <w:b/>
          <w:bCs/>
          <w:color w:val="000000"/>
        </w:rPr>
        <w:t>ohla</w:t>
      </w:r>
      <w:r w:rsidR="00B60210" w:rsidRPr="00A56032">
        <w:rPr>
          <w:b/>
        </w:rPr>
        <w:t xml:space="preserve"> </w:t>
      </w:r>
      <w:r w:rsidRPr="00A56032">
        <w:rPr>
          <w:b/>
        </w:rPr>
        <w:t>usaldusisikuks</w:t>
      </w:r>
      <w:r w:rsidRPr="00A56032">
        <w:rPr>
          <w:b/>
          <w:lang w:eastAsia="et-EE"/>
        </w:rPr>
        <w:t xml:space="preserve"> kirjaliku nõusoleku alusel </w:t>
      </w:r>
      <w:r w:rsidR="006121A8">
        <w:rPr>
          <w:b/>
        </w:rPr>
        <w:t>Mark Uska</w:t>
      </w:r>
      <w:r w:rsidRPr="00A56032">
        <w:rPr>
          <w:b/>
        </w:rPr>
        <w:t xml:space="preserve"> (</w:t>
      </w:r>
      <w:r w:rsidR="000D38C1" w:rsidRPr="000D38C1">
        <w:rPr>
          <w:b/>
        </w:rPr>
        <w:t xml:space="preserve">aadress: </w:t>
      </w:r>
      <w:r w:rsidR="006121A8">
        <w:rPr>
          <w:b/>
        </w:rPr>
        <w:t>Lelle 24-39, 11318 Tallinn</w:t>
      </w:r>
      <w:r w:rsidR="000D38C1" w:rsidRPr="000D38C1">
        <w:rPr>
          <w:b/>
        </w:rPr>
        <w:t xml:space="preserve">; tel: </w:t>
      </w:r>
      <w:r w:rsidR="006121A8" w:rsidRPr="006121A8">
        <w:rPr>
          <w:b/>
        </w:rPr>
        <w:t>56221091</w:t>
      </w:r>
      <w:r w:rsidR="000D38C1" w:rsidRPr="000D38C1">
        <w:rPr>
          <w:b/>
        </w:rPr>
        <w:t>; e</w:t>
      </w:r>
      <w:r w:rsidR="006121A8">
        <w:rPr>
          <w:b/>
        </w:rPr>
        <w:t>-</w:t>
      </w:r>
      <w:r w:rsidR="000D38C1" w:rsidRPr="000D38C1">
        <w:rPr>
          <w:b/>
        </w:rPr>
        <w:t xml:space="preserve">post: </w:t>
      </w:r>
      <w:r w:rsidR="006121A8" w:rsidRPr="006121A8">
        <w:rPr>
          <w:b/>
        </w:rPr>
        <w:t>usaldusisik@uska.ee</w:t>
      </w:r>
      <w:r w:rsidRPr="00A56032">
        <w:rPr>
          <w:b/>
        </w:rPr>
        <w:t>).</w:t>
      </w:r>
    </w:p>
    <w:p w14:paraId="3FACE6BD" w14:textId="3DCED872" w:rsidR="00FA79A1" w:rsidRPr="00214B54" w:rsidRDefault="00FA79A1" w:rsidP="00FA79A1">
      <w:pPr>
        <w:pStyle w:val="Loendilik"/>
        <w:widowControl w:val="0"/>
        <w:numPr>
          <w:ilvl w:val="0"/>
          <w:numId w:val="1"/>
        </w:numPr>
        <w:overflowPunct w:val="0"/>
        <w:autoSpaceDE w:val="0"/>
        <w:autoSpaceDN w:val="0"/>
        <w:adjustRightInd w:val="0"/>
        <w:spacing w:before="120"/>
        <w:contextualSpacing w:val="0"/>
        <w:jc w:val="both"/>
        <w:textAlignment w:val="baseline"/>
        <w:rPr>
          <w:b/>
          <w:lang w:eastAsia="et-EE"/>
        </w:rPr>
      </w:pPr>
      <w:r w:rsidRPr="006C24DF">
        <w:rPr>
          <w:b/>
        </w:rPr>
        <w:t>Peatada</w:t>
      </w:r>
      <w:r w:rsidRPr="006C24DF">
        <w:rPr>
          <w:b/>
          <w:noProof/>
        </w:rPr>
        <w:t xml:space="preserve"> </w:t>
      </w:r>
      <w:r w:rsidR="006B7A23">
        <w:rPr>
          <w:b/>
        </w:rPr>
        <w:t>Evelin Pohla</w:t>
      </w:r>
      <w:r w:rsidR="00E52DAA" w:rsidRPr="00E52DAA">
        <w:rPr>
          <w:b/>
        </w:rPr>
        <w:t xml:space="preserve"> </w:t>
      </w:r>
      <w:r w:rsidRPr="006C24DF">
        <w:rPr>
          <w:b/>
          <w:bCs/>
        </w:rPr>
        <w:t xml:space="preserve">vara </w:t>
      </w:r>
      <w:r w:rsidRPr="006C24DF">
        <w:rPr>
          <w:b/>
        </w:rPr>
        <w:t>suhtes toimuv sundtäitmine</w:t>
      </w:r>
      <w:r>
        <w:rPr>
          <w:b/>
        </w:rPr>
        <w:t xml:space="preserve"> ja tulevikus võimalik sundtäitmine </w:t>
      </w:r>
      <w:r w:rsidRPr="00214B54">
        <w:rPr>
          <w:b/>
        </w:rPr>
        <w:t>kuni pankroti väljakuulutamiseni, ümberkujundamiskava kinnitamiseni või menetluse lõppemiseni.</w:t>
      </w:r>
    </w:p>
    <w:p w14:paraId="671CC74F" w14:textId="1A9EE573" w:rsidR="00FA79A1" w:rsidRDefault="00FA79A1" w:rsidP="00FA79A1">
      <w:pPr>
        <w:pStyle w:val="Loendilik"/>
        <w:widowControl w:val="0"/>
        <w:numPr>
          <w:ilvl w:val="0"/>
          <w:numId w:val="1"/>
        </w:numPr>
        <w:overflowPunct w:val="0"/>
        <w:autoSpaceDE w:val="0"/>
        <w:autoSpaceDN w:val="0"/>
        <w:adjustRightInd w:val="0"/>
        <w:spacing w:before="120"/>
        <w:contextualSpacing w:val="0"/>
        <w:jc w:val="both"/>
        <w:textAlignment w:val="baseline"/>
        <w:rPr>
          <w:b/>
          <w:lang w:eastAsia="et-EE"/>
        </w:rPr>
      </w:pPr>
      <w:r>
        <w:rPr>
          <w:b/>
        </w:rPr>
        <w:t>Kohaldada käsutuskeeldu ja k</w:t>
      </w:r>
      <w:r w:rsidRPr="009E7267">
        <w:rPr>
          <w:b/>
        </w:rPr>
        <w:t>eelata</w:t>
      </w:r>
      <w:r w:rsidRPr="009E7267">
        <w:rPr>
          <w:b/>
          <w:bCs/>
        </w:rPr>
        <w:t xml:space="preserve"> </w:t>
      </w:r>
      <w:r w:rsidR="006B7A23">
        <w:rPr>
          <w:b/>
          <w:bCs/>
        </w:rPr>
        <w:t>Evelin Pohlal</w:t>
      </w:r>
      <w:r w:rsidRPr="001246BD">
        <w:rPr>
          <w:b/>
          <w:bCs/>
        </w:rPr>
        <w:t xml:space="preserve"> </w:t>
      </w:r>
      <w:r>
        <w:rPr>
          <w:b/>
          <w:bCs/>
        </w:rPr>
        <w:t xml:space="preserve">ilma </w:t>
      </w:r>
      <w:r w:rsidRPr="007B3F0D">
        <w:rPr>
          <w:b/>
        </w:rPr>
        <w:t xml:space="preserve">usaldusisiku nõusolekuta kogu vara käsutamine. </w:t>
      </w:r>
    </w:p>
    <w:p w14:paraId="56171C0E" w14:textId="77777777" w:rsidR="00FA79A1" w:rsidRPr="004450D1" w:rsidRDefault="00FA79A1" w:rsidP="00FA79A1">
      <w:pPr>
        <w:pStyle w:val="Loendilik"/>
        <w:widowControl w:val="0"/>
        <w:numPr>
          <w:ilvl w:val="0"/>
          <w:numId w:val="1"/>
        </w:numPr>
        <w:overflowPunct w:val="0"/>
        <w:autoSpaceDE w:val="0"/>
        <w:autoSpaceDN w:val="0"/>
        <w:adjustRightInd w:val="0"/>
        <w:spacing w:before="120"/>
        <w:contextualSpacing w:val="0"/>
        <w:jc w:val="both"/>
        <w:textAlignment w:val="baseline"/>
        <w:rPr>
          <w:b/>
          <w:lang w:eastAsia="et-EE"/>
        </w:rPr>
      </w:pPr>
      <w:r w:rsidRPr="004450D1">
        <w:rPr>
          <w:b/>
          <w:lang w:eastAsia="et-EE"/>
        </w:rPr>
        <w:t>Teha usaldusisikule kohustuseks FIMS §-st 17 tulenevate ülesannete täitmine. Usaldusisikul esitada kohtule FIMS § 17 kohaselt tegevuse aruanne hiljemalt 30 päeva jooksul käesoleva määruse tegemisest.</w:t>
      </w:r>
    </w:p>
    <w:p w14:paraId="4F9C36AD" w14:textId="77777777" w:rsidR="00FA79A1" w:rsidRPr="004450D1" w:rsidRDefault="00FA79A1" w:rsidP="00FA79A1">
      <w:pPr>
        <w:pStyle w:val="Loendilik"/>
        <w:widowControl w:val="0"/>
        <w:numPr>
          <w:ilvl w:val="0"/>
          <w:numId w:val="1"/>
        </w:numPr>
        <w:overflowPunct w:val="0"/>
        <w:autoSpaceDE w:val="0"/>
        <w:autoSpaceDN w:val="0"/>
        <w:adjustRightInd w:val="0"/>
        <w:spacing w:before="120"/>
        <w:contextualSpacing w:val="0"/>
        <w:jc w:val="both"/>
        <w:textAlignment w:val="baseline"/>
        <w:rPr>
          <w:b/>
          <w:lang w:eastAsia="et-EE"/>
        </w:rPr>
      </w:pPr>
      <w:r w:rsidRPr="00D27866">
        <w:rPr>
          <w:b/>
          <w:lang w:eastAsia="et-EE"/>
        </w:rPr>
        <w:t xml:space="preserve">Usaldusisikul on õigus nõuda teavet ja dokumente, mida ta vajab oma ülesannete täitmiseks, võlgnikult, võlausaldajalt, riigi- ja kohaliku omavalitsuse asutuselt ning krediidiasutuselt, samuti muult isikult ning võlgniku töötajalt ja endiselt töötajalt, kes on ametist lahkunud kahe aasta jooksul enne maksejõuetusavalduse esitamist, samuti  viibida võlgniku valduses oleval maatükil ja majandus- või kutsetegevuseks kasutatavates </w:t>
      </w:r>
      <w:r w:rsidRPr="004450D1">
        <w:rPr>
          <w:b/>
          <w:lang w:eastAsia="et-EE"/>
        </w:rPr>
        <w:t>ruumides ja võlgniku eluruumis.</w:t>
      </w:r>
    </w:p>
    <w:p w14:paraId="36EA72C6" w14:textId="77777777" w:rsidR="00FA79A1" w:rsidRDefault="00FA79A1" w:rsidP="00FA79A1">
      <w:pPr>
        <w:pStyle w:val="Loendilik"/>
        <w:widowControl w:val="0"/>
        <w:numPr>
          <w:ilvl w:val="0"/>
          <w:numId w:val="1"/>
        </w:numPr>
        <w:overflowPunct w:val="0"/>
        <w:autoSpaceDE w:val="0"/>
        <w:autoSpaceDN w:val="0"/>
        <w:adjustRightInd w:val="0"/>
        <w:spacing w:before="120"/>
        <w:contextualSpacing w:val="0"/>
        <w:jc w:val="both"/>
        <w:textAlignment w:val="baseline"/>
        <w:rPr>
          <w:b/>
          <w:lang w:eastAsia="et-EE"/>
        </w:rPr>
      </w:pPr>
      <w:r w:rsidRPr="004450D1">
        <w:rPr>
          <w:b/>
          <w:lang w:eastAsia="et-EE"/>
        </w:rPr>
        <w:t>Avaldada väljaandes Ametlikud Teadaanded teade käsutuskeelu kehtestamise kohta.</w:t>
      </w:r>
    </w:p>
    <w:p w14:paraId="5B41ED4B" w14:textId="3790B103" w:rsidR="00FA79A1" w:rsidRDefault="00FA79A1" w:rsidP="00FA79A1">
      <w:pPr>
        <w:pStyle w:val="Loendilik"/>
        <w:widowControl w:val="0"/>
        <w:numPr>
          <w:ilvl w:val="0"/>
          <w:numId w:val="1"/>
        </w:numPr>
        <w:overflowPunct w:val="0"/>
        <w:autoSpaceDE w:val="0"/>
        <w:autoSpaceDN w:val="0"/>
        <w:adjustRightInd w:val="0"/>
        <w:spacing w:before="120"/>
        <w:contextualSpacing w:val="0"/>
        <w:jc w:val="both"/>
        <w:textAlignment w:val="baseline"/>
        <w:rPr>
          <w:b/>
          <w:lang w:eastAsia="et-EE"/>
        </w:rPr>
      </w:pPr>
      <w:r w:rsidRPr="004450D1">
        <w:rPr>
          <w:b/>
          <w:lang w:eastAsia="et-EE"/>
        </w:rPr>
        <w:t>Määrus edastada avaldajale</w:t>
      </w:r>
      <w:r w:rsidR="00BB1A9F">
        <w:rPr>
          <w:b/>
          <w:lang w:eastAsia="et-EE"/>
        </w:rPr>
        <w:t xml:space="preserve"> </w:t>
      </w:r>
      <w:r w:rsidRPr="004450D1">
        <w:rPr>
          <w:b/>
          <w:lang w:eastAsia="et-EE"/>
        </w:rPr>
        <w:t>ja täitmiseks usaldusisikule.</w:t>
      </w:r>
    </w:p>
    <w:p w14:paraId="0B394E82" w14:textId="77777777" w:rsidR="00FA79A1" w:rsidRDefault="00FA79A1" w:rsidP="00FA79A1">
      <w:pPr>
        <w:widowControl w:val="0"/>
        <w:overflowPunct w:val="0"/>
        <w:autoSpaceDE w:val="0"/>
        <w:autoSpaceDN w:val="0"/>
        <w:adjustRightInd w:val="0"/>
        <w:spacing w:before="120"/>
        <w:jc w:val="both"/>
        <w:textAlignment w:val="baseline"/>
        <w:rPr>
          <w:b/>
          <w:lang w:eastAsia="et-EE"/>
        </w:rPr>
      </w:pPr>
    </w:p>
    <w:p w14:paraId="30859929" w14:textId="77777777" w:rsidR="00FA79A1" w:rsidRDefault="00FA79A1" w:rsidP="00FA79A1">
      <w:pPr>
        <w:widowControl w:val="0"/>
        <w:overflowPunct w:val="0"/>
        <w:autoSpaceDE w:val="0"/>
        <w:autoSpaceDN w:val="0"/>
        <w:adjustRightInd w:val="0"/>
        <w:spacing w:before="120"/>
        <w:jc w:val="both"/>
        <w:textAlignment w:val="baseline"/>
        <w:rPr>
          <w:b/>
          <w:lang w:eastAsia="et-EE"/>
        </w:rPr>
      </w:pPr>
    </w:p>
    <w:p w14:paraId="10517BC2" w14:textId="77777777" w:rsidR="00FA79A1" w:rsidRDefault="00FA79A1" w:rsidP="00FA79A1">
      <w:pPr>
        <w:widowControl w:val="0"/>
        <w:overflowPunct w:val="0"/>
        <w:autoSpaceDE w:val="0"/>
        <w:autoSpaceDN w:val="0"/>
        <w:adjustRightInd w:val="0"/>
        <w:spacing w:before="120"/>
        <w:jc w:val="both"/>
        <w:textAlignment w:val="baseline"/>
        <w:rPr>
          <w:b/>
          <w:lang w:eastAsia="et-EE"/>
        </w:rPr>
      </w:pPr>
    </w:p>
    <w:p w14:paraId="21058E5B" w14:textId="77777777" w:rsidR="00FA79A1" w:rsidRPr="00160BB4" w:rsidRDefault="00FA79A1" w:rsidP="00FA79A1">
      <w:pPr>
        <w:widowControl w:val="0"/>
        <w:overflowPunct w:val="0"/>
        <w:autoSpaceDE w:val="0"/>
        <w:autoSpaceDN w:val="0"/>
        <w:adjustRightInd w:val="0"/>
        <w:spacing w:before="120"/>
        <w:jc w:val="both"/>
        <w:textAlignment w:val="baseline"/>
        <w:rPr>
          <w:b/>
          <w:lang w:eastAsia="et-EE"/>
        </w:rPr>
      </w:pPr>
    </w:p>
    <w:p w14:paraId="6D32FA78" w14:textId="77777777" w:rsidR="00FA79A1" w:rsidRPr="008A2FDD" w:rsidRDefault="00FA79A1" w:rsidP="00FA79A1">
      <w:pPr>
        <w:jc w:val="both"/>
        <w:rPr>
          <w:b/>
          <w:sz w:val="16"/>
          <w:szCs w:val="16"/>
        </w:rPr>
      </w:pPr>
    </w:p>
    <w:p w14:paraId="57BFBD63" w14:textId="77777777" w:rsidR="00FA79A1" w:rsidRPr="00E50C75" w:rsidRDefault="00FA79A1" w:rsidP="00FA79A1">
      <w:pPr>
        <w:spacing w:before="120"/>
        <w:rPr>
          <w:b/>
        </w:rPr>
      </w:pPr>
      <w:r w:rsidRPr="00E50C75">
        <w:rPr>
          <w:b/>
        </w:rPr>
        <w:lastRenderedPageBreak/>
        <w:t>Edasikaebamise kord</w:t>
      </w:r>
    </w:p>
    <w:p w14:paraId="71D1591A" w14:textId="77777777" w:rsidR="00FA79A1" w:rsidRDefault="00FA79A1" w:rsidP="00FA79A1">
      <w:pPr>
        <w:spacing w:before="120"/>
        <w:jc w:val="both"/>
      </w:pPr>
      <w:r>
        <w:t>Kui usaldusisikuks on nimetatud isik, kes ei vasta füüsilise isiku maksejõuetuse seaduse (FIMS) § 15 lg-tes 3-5 sätestatud nõuetele, võib usaldusisiku nimetamise peale esitada 15 päeva jooksul määruskaebuse Viru Maakohtu kaudu Tartu Ringkonnakohtule.</w:t>
      </w:r>
    </w:p>
    <w:p w14:paraId="075427FF" w14:textId="77777777" w:rsidR="00FA79A1" w:rsidRDefault="00FA79A1" w:rsidP="00FA79A1">
      <w:pPr>
        <w:spacing w:before="120"/>
        <w:jc w:val="both"/>
      </w:pPr>
      <w:r>
        <w:t>Määruse peale osas, millega pankrotiavaldus tagati, võib esitada määruskaebuse isik, kelle õigust on määrusega kitsendatud, määruskaebuse 15 päeva jooksul arvates kohtumääruse kättesaamisest Viru Maakohtu kaudu Tartu Ringkonnakohtule.</w:t>
      </w:r>
    </w:p>
    <w:p w14:paraId="428F0454" w14:textId="77777777" w:rsidR="00FA79A1" w:rsidRDefault="00FA79A1" w:rsidP="00FA79A1">
      <w:pPr>
        <w:spacing w:before="120"/>
        <w:rPr>
          <w:b/>
          <w:sz w:val="20"/>
          <w:szCs w:val="20"/>
        </w:rPr>
      </w:pPr>
      <w:r>
        <w:t>Muus osas ei ole määrus edasikaevatav.</w:t>
      </w:r>
    </w:p>
    <w:p w14:paraId="03A5E82E" w14:textId="77777777" w:rsidR="00FA79A1" w:rsidRPr="004658B5" w:rsidRDefault="00FA79A1" w:rsidP="00FA79A1">
      <w:pPr>
        <w:spacing w:before="120"/>
        <w:rPr>
          <w:b/>
          <w:sz w:val="20"/>
          <w:szCs w:val="20"/>
        </w:rPr>
      </w:pPr>
    </w:p>
    <w:p w14:paraId="0EC8E223" w14:textId="77777777" w:rsidR="00FA79A1" w:rsidRDefault="00FA79A1" w:rsidP="00FA79A1">
      <w:pPr>
        <w:spacing w:before="120"/>
        <w:rPr>
          <w:b/>
        </w:rPr>
      </w:pPr>
      <w:r>
        <w:rPr>
          <w:b/>
        </w:rPr>
        <w:t>ASJAOLUD</w:t>
      </w:r>
      <w:r w:rsidRPr="003F6F94">
        <w:rPr>
          <w:b/>
        </w:rPr>
        <w:t xml:space="preserve"> </w:t>
      </w:r>
    </w:p>
    <w:p w14:paraId="4B981FBF" w14:textId="70F755CD" w:rsidR="00FA79A1" w:rsidRPr="00D85BB9" w:rsidRDefault="00FA79A1" w:rsidP="00FA79A1">
      <w:pPr>
        <w:spacing w:before="120"/>
        <w:jc w:val="both"/>
      </w:pPr>
      <w:r>
        <w:rPr>
          <w:b/>
          <w:bCs/>
        </w:rPr>
        <w:t>1.</w:t>
      </w:r>
      <w:r w:rsidRPr="00E53951">
        <w:t xml:space="preserve"> </w:t>
      </w:r>
      <w:r w:rsidR="00A460AC">
        <w:t>Evelin Pohla</w:t>
      </w:r>
      <w:r w:rsidR="007E366D" w:rsidRPr="007E366D">
        <w:t xml:space="preserve"> </w:t>
      </w:r>
      <w:r>
        <w:t xml:space="preserve">(avaldaja, võlgnik) esitas </w:t>
      </w:r>
      <w:r w:rsidR="00A460AC">
        <w:t>8. aprillil</w:t>
      </w:r>
      <w:r>
        <w:t xml:space="preserve"> 2025</w:t>
      </w:r>
      <w:r w:rsidR="00710023">
        <w:t xml:space="preserve"> </w:t>
      </w:r>
      <w:r w:rsidRPr="00D042C7">
        <w:t xml:space="preserve">Viru </w:t>
      </w:r>
      <w:r w:rsidRPr="00D85BB9">
        <w:t xml:space="preserve">Maakohtule maksejõuetusavalduse, milles </w:t>
      </w:r>
      <w:r w:rsidR="00A460AC">
        <w:t>on jätnud maksejõuetusmenetluse liigi kohtu otsustada</w:t>
      </w:r>
      <w:r>
        <w:t>.</w:t>
      </w:r>
    </w:p>
    <w:p w14:paraId="2606C3B8" w14:textId="46C62021" w:rsidR="00FA79A1" w:rsidRDefault="00FA79A1" w:rsidP="00FA79A1">
      <w:pPr>
        <w:spacing w:before="120"/>
        <w:jc w:val="both"/>
      </w:pPr>
      <w:r w:rsidRPr="00D85BB9">
        <w:t>Avalduse kohaselt on võlgnik</w:t>
      </w:r>
      <w:r>
        <w:t xml:space="preserve"> </w:t>
      </w:r>
      <w:r w:rsidR="00A460AC">
        <w:t>lahutatud 2022. aastast</w:t>
      </w:r>
      <w:r w:rsidR="00CF1EF1">
        <w:t>.</w:t>
      </w:r>
      <w:r w:rsidR="006121A8">
        <w:t xml:space="preserve"> Võlgnikul </w:t>
      </w:r>
      <w:r w:rsidR="00A460AC">
        <w:t>ei ole ülalpeetavaid</w:t>
      </w:r>
      <w:r w:rsidR="006121A8">
        <w:t>. Võlgniku sissetulekud on</w:t>
      </w:r>
      <w:r w:rsidR="00A460AC">
        <w:t xml:space="preserve"> </w:t>
      </w:r>
      <w:r w:rsidR="00A460AC">
        <w:rPr>
          <w:i/>
          <w:iCs/>
        </w:rPr>
        <w:t>ca</w:t>
      </w:r>
      <w:r w:rsidR="006121A8">
        <w:t xml:space="preserve"> 1100 eurot kuus (töötasu). </w:t>
      </w:r>
      <w:r w:rsidR="00A460AC">
        <w:t>Võlgnikule ei kuulu kinnisvara.</w:t>
      </w:r>
      <w:r w:rsidR="00F96068">
        <w:t xml:space="preserve"> Võlgniku igakuised kulud on </w:t>
      </w:r>
      <w:r w:rsidR="00A460AC">
        <w:t>745</w:t>
      </w:r>
      <w:r w:rsidR="00F96068">
        <w:t xml:space="preserve"> eurot. Võlgnikul on kohustusi kokku </w:t>
      </w:r>
      <w:r w:rsidR="00A460AC">
        <w:t xml:space="preserve">51 847,20 </w:t>
      </w:r>
      <w:r w:rsidR="00F96068">
        <w:t>eurot.</w:t>
      </w:r>
    </w:p>
    <w:p w14:paraId="319C46CB" w14:textId="6ABFA905" w:rsidR="009D0063" w:rsidRPr="00140A9A" w:rsidRDefault="006121A8" w:rsidP="00FA79A1">
      <w:pPr>
        <w:spacing w:before="120"/>
        <w:jc w:val="both"/>
      </w:pPr>
      <w:r>
        <w:t>Maksejõuetuse põhjusena toob võlgnik välja, et</w:t>
      </w:r>
      <w:r w:rsidR="00A460AC">
        <w:t xml:space="preserve"> võttis koos endise abikaasaga koos elades järelmakse. Lihtne võimalus oli soetada midagi, mille eest saab maksta hiljem. Lahku minnes oli suurem soov endale asju lubada ja üksinda elades kulud tõusid. Sai võetud laene, misjärel hakkas elama ühest laenuvõtmisest teiseni. Enam ei suuda laene tagasi maksta. </w:t>
      </w:r>
    </w:p>
    <w:p w14:paraId="0237F324" w14:textId="77777777" w:rsidR="00140A9A" w:rsidRDefault="00140A9A" w:rsidP="00FA79A1">
      <w:pPr>
        <w:spacing w:before="120"/>
        <w:jc w:val="both"/>
        <w:rPr>
          <w:b/>
        </w:rPr>
      </w:pPr>
    </w:p>
    <w:p w14:paraId="7CF98D15" w14:textId="77777777" w:rsidR="00FA79A1" w:rsidRDefault="00FA79A1" w:rsidP="00FA79A1">
      <w:pPr>
        <w:spacing w:before="120"/>
        <w:jc w:val="both"/>
      </w:pPr>
      <w:r>
        <w:rPr>
          <w:b/>
        </w:rPr>
        <w:t>KOHTU SEISUKOHT</w:t>
      </w:r>
    </w:p>
    <w:p w14:paraId="0CA650D3" w14:textId="77777777" w:rsidR="00FA79A1" w:rsidRDefault="00FA79A1" w:rsidP="00FA79A1">
      <w:pPr>
        <w:spacing w:before="120"/>
        <w:jc w:val="both"/>
        <w:rPr>
          <w:lang w:eastAsia="et-EE"/>
        </w:rPr>
      </w:pPr>
      <w:r>
        <w:rPr>
          <w:b/>
          <w:bCs/>
          <w:lang w:eastAsia="et-EE"/>
        </w:rPr>
        <w:t xml:space="preserve">2. </w:t>
      </w:r>
      <w:r w:rsidRPr="00563ABE">
        <w:rPr>
          <w:lang w:eastAsia="et-EE"/>
        </w:rPr>
        <w:t>Kohus, tutvunud avaldusega, lei</w:t>
      </w:r>
      <w:r>
        <w:rPr>
          <w:lang w:eastAsia="et-EE"/>
        </w:rPr>
        <w:t xml:space="preserve">ab, </w:t>
      </w:r>
      <w:r w:rsidRPr="00563ABE">
        <w:rPr>
          <w:lang w:eastAsia="et-EE"/>
        </w:rPr>
        <w:t xml:space="preserve">et </w:t>
      </w:r>
      <w:r>
        <w:rPr>
          <w:lang w:eastAsia="et-EE"/>
        </w:rPr>
        <w:t>maksejõuetusavaldus tuleb võtta menetlusse ning nimetada usaldusisik. Avaldaja maksejõuetusavaldus vastab füüsilise isiku maksejõuetuse seaduse (FIMS) §</w:t>
      </w:r>
      <w:r>
        <w:rPr>
          <w:lang w:eastAsia="et-EE"/>
        </w:rPr>
        <w:noBreakHyphen/>
        <w:t>s 11 sätestatud nõuetele.</w:t>
      </w:r>
    </w:p>
    <w:p w14:paraId="63775B3C" w14:textId="10764D07" w:rsidR="00FA79A1" w:rsidRDefault="00FA79A1" w:rsidP="00FA79A1">
      <w:pPr>
        <w:spacing w:before="120"/>
        <w:jc w:val="both"/>
        <w:rPr>
          <w:lang w:eastAsia="et-EE"/>
        </w:rPr>
      </w:pPr>
      <w:r>
        <w:rPr>
          <w:b/>
          <w:bCs/>
          <w:lang w:eastAsia="et-EE"/>
        </w:rPr>
        <w:t xml:space="preserve">3. </w:t>
      </w:r>
      <w:r w:rsidRPr="007D2EDE">
        <w:rPr>
          <w:lang w:eastAsia="et-EE"/>
        </w:rPr>
        <w:t>K</w:t>
      </w:r>
      <w:r w:rsidRPr="00BA621B">
        <w:rPr>
          <w:lang w:eastAsia="et-EE"/>
        </w:rPr>
        <w:t xml:space="preserve">ohus </w:t>
      </w:r>
      <w:r>
        <w:rPr>
          <w:lang w:eastAsia="et-EE"/>
        </w:rPr>
        <w:t xml:space="preserve">nimetab </w:t>
      </w:r>
      <w:r w:rsidRPr="00BA621B">
        <w:rPr>
          <w:lang w:eastAsia="et-EE"/>
        </w:rPr>
        <w:t>F</w:t>
      </w:r>
      <w:r>
        <w:rPr>
          <w:lang w:eastAsia="et-EE"/>
        </w:rPr>
        <w:t>I</w:t>
      </w:r>
      <w:r w:rsidRPr="00BA621B">
        <w:rPr>
          <w:lang w:eastAsia="et-EE"/>
        </w:rPr>
        <w:t>MS §</w:t>
      </w:r>
      <w:r>
        <w:rPr>
          <w:lang w:eastAsia="et-EE"/>
        </w:rPr>
        <w:t xml:space="preserve"> </w:t>
      </w:r>
      <w:r w:rsidRPr="00BA621B">
        <w:rPr>
          <w:lang w:eastAsia="et-EE"/>
        </w:rPr>
        <w:t xml:space="preserve">15 </w:t>
      </w:r>
      <w:r>
        <w:rPr>
          <w:lang w:eastAsia="et-EE"/>
        </w:rPr>
        <w:t xml:space="preserve">lg 1 alusel avaldaja </w:t>
      </w:r>
      <w:r w:rsidRPr="007B3F0D">
        <w:rPr>
          <w:lang w:eastAsia="et-EE"/>
        </w:rPr>
        <w:t xml:space="preserve">usaldusisikuks </w:t>
      </w:r>
      <w:r w:rsidR="00F96068">
        <w:rPr>
          <w:lang w:eastAsia="et-EE"/>
        </w:rPr>
        <w:t>Mark Uska</w:t>
      </w:r>
      <w:r w:rsidRPr="007B3F0D">
        <w:rPr>
          <w:lang w:eastAsia="et-EE"/>
        </w:rPr>
        <w:t>, kes</w:t>
      </w:r>
      <w:r>
        <w:rPr>
          <w:lang w:eastAsia="et-EE"/>
        </w:rPr>
        <w:t xml:space="preserve"> on andnud kohtule </w:t>
      </w:r>
      <w:r w:rsidRPr="004450D1">
        <w:rPr>
          <w:lang w:eastAsia="et-EE"/>
        </w:rPr>
        <w:t>nõusoleku usaldusisikuna tegutsemiseks ja vastab sama paragrahvi lg-tes 4 ja 5 sätestatud nõuetele</w:t>
      </w:r>
      <w:r>
        <w:rPr>
          <w:lang w:eastAsia="et-EE"/>
        </w:rPr>
        <w:t xml:space="preserve">. </w:t>
      </w:r>
      <w:r w:rsidR="0018050C" w:rsidRPr="0018050C">
        <w:rPr>
          <w:lang w:eastAsia="et-EE"/>
        </w:rPr>
        <w:t xml:space="preserve">Kohus </w:t>
      </w:r>
      <w:r w:rsidR="008924DB">
        <w:rPr>
          <w:lang w:eastAsia="et-EE"/>
        </w:rPr>
        <w:t>andis avaldajale võimaluse esitada seisukoht</w:t>
      </w:r>
      <w:r w:rsidR="00F96068">
        <w:rPr>
          <w:lang w:eastAsia="et-EE"/>
        </w:rPr>
        <w:t xml:space="preserve"> usaldusisiku kandidaadi osas </w:t>
      </w:r>
      <w:r w:rsidR="0018050C" w:rsidRPr="0018050C">
        <w:rPr>
          <w:lang w:eastAsia="et-EE"/>
        </w:rPr>
        <w:t xml:space="preserve">(FIMS § 15 lg </w:t>
      </w:r>
      <w:r w:rsidR="00F96068">
        <w:rPr>
          <w:lang w:eastAsia="et-EE"/>
        </w:rPr>
        <w:t> </w:t>
      </w:r>
      <w:r w:rsidR="0018050C" w:rsidRPr="0018050C">
        <w:rPr>
          <w:lang w:eastAsia="et-EE"/>
        </w:rPr>
        <w:t>6)</w:t>
      </w:r>
      <w:r w:rsidR="00F96068">
        <w:rPr>
          <w:lang w:eastAsia="et-EE"/>
        </w:rPr>
        <w:t>.</w:t>
      </w:r>
    </w:p>
    <w:p w14:paraId="74F3E98E" w14:textId="77777777" w:rsidR="00FA79A1" w:rsidRDefault="00FA79A1" w:rsidP="00FA79A1">
      <w:pPr>
        <w:spacing w:before="120"/>
        <w:jc w:val="both"/>
        <w:rPr>
          <w:lang w:eastAsia="et-EE"/>
        </w:rPr>
      </w:pPr>
      <w:r>
        <w:rPr>
          <w:b/>
          <w:bCs/>
          <w:lang w:eastAsia="et-EE"/>
        </w:rPr>
        <w:t xml:space="preserve">4. </w:t>
      </w:r>
      <w:r w:rsidRPr="0063455E">
        <w:rPr>
          <w:lang w:eastAsia="et-EE"/>
        </w:rPr>
        <w:t>FIMS § 53 lg 6 järgi on usaldusisikul õigus nõuda teavet ja dokumente, mida ta vajab oma ülesannete täitmiseks, võlgnikult, võlausaldajalt, riigi- ja kohaliku omavalitsuse asutuselt ning krediidiasutuselt, samuti muult isikult ning võlgniku töötajalt ja endiselt töötajalt, kes on ametist lahkunud kahe aasta jooksul enne maksejõuetusavalduse esitamist. Usaldusisikul on oma ülesannete täitmiseks ka muud käesolevas seaduses sätestatud õigused. FIMS § 15 lg 11 kohaselt on usaldusisikul tema nimetamisest kuni maksejõuetusavalduse lahendamiseni lisaks käesolevas seaduses sätestatud õigustele ja kohustustele ka kõik seaduses sätestatud ajutise pankrotihalduri õigused ja kohustused, arvestades FIMS-is sätestatud erisusi.</w:t>
      </w:r>
    </w:p>
    <w:p w14:paraId="4C53E7D8" w14:textId="77777777" w:rsidR="00FA79A1" w:rsidRDefault="00FA79A1" w:rsidP="00FA79A1">
      <w:pPr>
        <w:spacing w:before="120"/>
        <w:jc w:val="both"/>
        <w:rPr>
          <w:color w:val="000000"/>
        </w:rPr>
      </w:pPr>
      <w:r>
        <w:rPr>
          <w:b/>
          <w:bCs/>
          <w:lang w:eastAsia="et-EE"/>
        </w:rPr>
        <w:t xml:space="preserve">5. </w:t>
      </w:r>
      <w:r>
        <w:rPr>
          <w:color w:val="000000"/>
        </w:rPr>
        <w:t xml:space="preserve">Kohus määrab FIMS § 15 lg 10 järgi usaldusisikule tähtaja esitada kohtule </w:t>
      </w:r>
      <w:r w:rsidRPr="004450D1">
        <w:t>hiljemalt 30 päeva jooksul määruse tegemisest FIMS §-s 17 lg 1 p-des 1-3  sätestatud vara- ja võlanimek</w:t>
      </w:r>
      <w:r>
        <w:rPr>
          <w:color w:val="000000"/>
        </w:rPr>
        <w:t>iri ning nende lisad, võlgniku viimase kolme aasta tuludeklaratsioonide ja maksekonto väljavõtete ning oluliste kohustuste aluseks olevate dokumentide (näiteks laenulepingud) ärakirjad.</w:t>
      </w:r>
    </w:p>
    <w:p w14:paraId="49F21BAA" w14:textId="77777777" w:rsidR="00FA79A1" w:rsidRDefault="00FA79A1" w:rsidP="00FA79A1">
      <w:pPr>
        <w:spacing w:before="120"/>
        <w:jc w:val="both"/>
        <w:rPr>
          <w:color w:val="000000"/>
        </w:rPr>
      </w:pPr>
      <w:r>
        <w:rPr>
          <w:color w:val="000000"/>
        </w:rPr>
        <w:t>Kui võlgnik on viie aasta jooksul enne avalduse esitamist võõrandanud kinnisasja või registrisse kantud vallasasja või õiguse või kinkinud või laenanud raha kolmandale isikule enam kui 3000 euro ulatuses, tuleb ka see varanimekirjas märkida (FIMS § 17 lg 3). Eraldi tuleb märkida neile tingimustele vastavad tehingud, mis on tehtud lähikondsetega pankrotiseaduse (PankrS) § 117 lg 1 tähenduses.</w:t>
      </w:r>
    </w:p>
    <w:p w14:paraId="681C2C8F" w14:textId="77777777" w:rsidR="00FA79A1" w:rsidRDefault="00FA79A1" w:rsidP="00FA79A1">
      <w:pPr>
        <w:spacing w:before="120"/>
        <w:jc w:val="both"/>
        <w:rPr>
          <w:color w:val="000000"/>
        </w:rPr>
      </w:pPr>
      <w:r>
        <w:rPr>
          <w:color w:val="000000"/>
        </w:rPr>
        <w:t>Võlanimekirjas tuleb märkida, milliseid võlgasid võlgnik ei tunnista (FIMS § 17 lg 5). Võla- ja varanimekirjas tuleb märkida, kas ja millise vara või nõude kohta on käimas kohtumenetlus või muu menetlus, sealhulgas täitemenetlus.</w:t>
      </w:r>
    </w:p>
    <w:p w14:paraId="1BE6680E" w14:textId="77777777" w:rsidR="00FA79A1" w:rsidRDefault="00FA79A1" w:rsidP="00FA79A1">
      <w:pPr>
        <w:spacing w:before="120"/>
        <w:jc w:val="both"/>
        <w:rPr>
          <w:color w:val="000000"/>
        </w:rPr>
      </w:pPr>
      <w:r>
        <w:rPr>
          <w:color w:val="000000"/>
        </w:rPr>
        <w:lastRenderedPageBreak/>
        <w:t>Ühtlasi tuleb usaldusisikul esitada enda hinnang võlgniku varalise seisundi ja maksejõulisuse, makseraskuste või maksejõuetuse tekkimise põhjuste ja võlgniku ettevõtte tegevuse jätkamise väljavaadete kohta, samuti hinnang, kas võlgniku suhtes tuleks välja kuulutada pankrot, algatada kohustustest vabastamise menetlus, võlgade ümberkujundamise menetlus või menetlus lõpetada (FIMS § 17 lg 2).</w:t>
      </w:r>
    </w:p>
    <w:p w14:paraId="7132AF75" w14:textId="77777777" w:rsidR="00FA79A1" w:rsidRDefault="00FA79A1" w:rsidP="00FA79A1">
      <w:pPr>
        <w:spacing w:before="120"/>
        <w:jc w:val="both"/>
        <w:rPr>
          <w:color w:val="000000"/>
        </w:rPr>
      </w:pPr>
      <w:r>
        <w:rPr>
          <w:color w:val="000000"/>
        </w:rPr>
        <w:t>Usaldusisik peab vara- ja võlanimekirja esitamisel kasutama FIMS § 9 lg 1 alusel kehtestatud vastavat vormi (FIMS § 17 lg 6).</w:t>
      </w:r>
    </w:p>
    <w:p w14:paraId="40821B8F" w14:textId="4173E9FD" w:rsidR="00FA79A1" w:rsidRDefault="00FA79A1" w:rsidP="00FA79A1">
      <w:pPr>
        <w:spacing w:before="120"/>
        <w:jc w:val="both"/>
      </w:pPr>
      <w:r>
        <w:rPr>
          <w:b/>
          <w:bCs/>
          <w:lang w:eastAsia="et-EE"/>
        </w:rPr>
        <w:t>6. </w:t>
      </w:r>
      <w:r w:rsidRPr="0063455E">
        <w:rPr>
          <w:lang w:eastAsia="et-EE"/>
        </w:rPr>
        <w:t>Usaldusisiku nimetamisel peatab kohus võlgniku vara suhtes läbiviidava täitemenetluse või muu sundtäitmise raha sissenõudmiseks kuni pankroti väljakuulutamiseni, ümberkujundamiskava kinnitamiseni või menetluse lõppemiseni (FIMS § 16 lg 3 esimene lause). Eelnevat arvestades tuleb peatada avaldaja vara suhtes läbiviidav sundtäitmine.</w:t>
      </w:r>
    </w:p>
    <w:p w14:paraId="5A6800C2" w14:textId="77777777" w:rsidR="00FA79A1" w:rsidRDefault="00FA79A1" w:rsidP="00FA79A1">
      <w:pPr>
        <w:spacing w:before="120"/>
        <w:jc w:val="both"/>
        <w:rPr>
          <w:lang w:eastAsia="et-EE"/>
        </w:rPr>
      </w:pPr>
      <w:r w:rsidRPr="0063455E">
        <w:rPr>
          <w:b/>
          <w:bCs/>
          <w:lang w:eastAsia="et-EE"/>
        </w:rPr>
        <w:t>7.</w:t>
      </w:r>
      <w:r>
        <w:rPr>
          <w:lang w:eastAsia="et-EE"/>
        </w:rPr>
        <w:t xml:space="preserve"> </w:t>
      </w:r>
      <w:r w:rsidRPr="004450D1">
        <w:rPr>
          <w:lang w:eastAsia="et-EE"/>
        </w:rPr>
        <w:t>FIMS § 16 lg 3 p 4 ja PankrS § 20 lg 1 alusel keelab kohus võlgnikul võlausaldajate huvide tagamiseks usaldusisiku nõusolekuta vara käsutada. PankrS § 21 alusel avaldab kohus käsutuskeelu kehtestamise kohta teate väljaandes Ametlikud Teadaanded.</w:t>
      </w:r>
    </w:p>
    <w:p w14:paraId="62F1FB13" w14:textId="5CD527F8" w:rsidR="00FA79A1" w:rsidRDefault="00FA79A1" w:rsidP="00FA79A1">
      <w:pPr>
        <w:spacing w:before="120"/>
        <w:jc w:val="both"/>
        <w:rPr>
          <w:lang w:eastAsia="et-EE"/>
        </w:rPr>
      </w:pPr>
      <w:r>
        <w:rPr>
          <w:b/>
          <w:bCs/>
          <w:lang w:eastAsia="et-EE"/>
        </w:rPr>
        <w:t xml:space="preserve">8. </w:t>
      </w:r>
      <w:r w:rsidRPr="002D6595">
        <w:rPr>
          <w:lang w:eastAsia="et-EE"/>
        </w:rPr>
        <w:t>FIMS § 13 lg 1 järgi edastatakse avalduse menetlusse võtmise määrus võlgnikule, lisaks täitmiseks usaldusisikule.</w:t>
      </w:r>
      <w:r w:rsidR="00BB1A9F" w:rsidRPr="00BB1A9F">
        <w:t xml:space="preserve"> </w:t>
      </w:r>
    </w:p>
    <w:p w14:paraId="7839F79E" w14:textId="77777777" w:rsidR="00FA79A1" w:rsidRDefault="00FA79A1" w:rsidP="00FA79A1">
      <w:pPr>
        <w:spacing w:before="120"/>
        <w:jc w:val="both"/>
        <w:rPr>
          <w:lang w:eastAsia="et-EE"/>
        </w:rPr>
      </w:pPr>
    </w:p>
    <w:p w14:paraId="3C973419" w14:textId="05B0EE09" w:rsidR="00D45777" w:rsidRPr="00FA79A1" w:rsidRDefault="00FA79A1" w:rsidP="00FA79A1">
      <w:pPr>
        <w:pStyle w:val="Vahedeta"/>
        <w:spacing w:before="120"/>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w:t>
      </w:r>
      <w:r w:rsidRPr="001A1BE4">
        <w:rPr>
          <w:rFonts w:ascii="Times New Roman" w:eastAsia="Times New Roman" w:hAnsi="Times New Roman" w:cs="Times New Roman"/>
          <w:iCs/>
          <w:sz w:val="24"/>
          <w:szCs w:val="24"/>
          <w:lang w:eastAsia="et-EE"/>
        </w:rPr>
        <w:t>allkirjastatud digitaalselt)</w:t>
      </w:r>
    </w:p>
    <w:sectPr w:rsidR="00D45777" w:rsidRPr="00FA79A1" w:rsidSect="00FA79A1">
      <w:pgSz w:w="11907" w:h="16840" w:code="9"/>
      <w:pgMar w:top="851" w:right="851" w:bottom="851" w:left="1418" w:header="709"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6E76"/>
    <w:multiLevelType w:val="multilevel"/>
    <w:tmpl w:val="54F82E6E"/>
    <w:lvl w:ilvl="0">
      <w:start w:val="1"/>
      <w:numFmt w:val="decimal"/>
      <w:lvlText w:val="%1."/>
      <w:lvlJc w:val="left"/>
      <w:pPr>
        <w:ind w:left="435" w:hanging="435"/>
      </w:pPr>
      <w:rPr>
        <w:rFonts w:hint="default"/>
        <w:color w:val="auto"/>
      </w:rPr>
    </w:lvl>
    <w:lvl w:ilvl="1">
      <w:start w:val="1"/>
      <w:numFmt w:val="decimal"/>
      <w:lvlText w:val="%1.%2."/>
      <w:lvlJc w:val="left"/>
      <w:pPr>
        <w:ind w:left="1002"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B8316E9"/>
    <w:multiLevelType w:val="hybridMultilevel"/>
    <w:tmpl w:val="8FD6B086"/>
    <w:lvl w:ilvl="0" w:tplc="96A84DFE">
      <w:start w:val="2"/>
      <w:numFmt w:val="bullet"/>
      <w:suff w:val="space"/>
      <w:lvlText w:val="-"/>
      <w:lvlJc w:val="left"/>
      <w:pPr>
        <w:ind w:left="0" w:firstLine="0"/>
      </w:pPr>
      <w:rPr>
        <w:rFonts w:ascii="Times New Roman" w:eastAsia="MS Mincho"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91169189">
    <w:abstractNumId w:val="0"/>
  </w:num>
  <w:num w:numId="2" w16cid:durableId="147044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A1"/>
    <w:rsid w:val="00006029"/>
    <w:rsid w:val="00021CF5"/>
    <w:rsid w:val="000D38C1"/>
    <w:rsid w:val="00116BC7"/>
    <w:rsid w:val="00125EF2"/>
    <w:rsid w:val="00140A9A"/>
    <w:rsid w:val="0018050C"/>
    <w:rsid w:val="00186793"/>
    <w:rsid w:val="001F7638"/>
    <w:rsid w:val="00210E3A"/>
    <w:rsid w:val="0021181B"/>
    <w:rsid w:val="00244609"/>
    <w:rsid w:val="002818F2"/>
    <w:rsid w:val="002A48CE"/>
    <w:rsid w:val="003149A4"/>
    <w:rsid w:val="00316200"/>
    <w:rsid w:val="00316274"/>
    <w:rsid w:val="003F6A8A"/>
    <w:rsid w:val="004055D7"/>
    <w:rsid w:val="00427F86"/>
    <w:rsid w:val="004A1DA3"/>
    <w:rsid w:val="005753F1"/>
    <w:rsid w:val="0058733E"/>
    <w:rsid w:val="00605DAD"/>
    <w:rsid w:val="006121A8"/>
    <w:rsid w:val="006B7A23"/>
    <w:rsid w:val="006F13CE"/>
    <w:rsid w:val="006F6772"/>
    <w:rsid w:val="00705A9F"/>
    <w:rsid w:val="00710023"/>
    <w:rsid w:val="007A4D60"/>
    <w:rsid w:val="007E366D"/>
    <w:rsid w:val="007F1C06"/>
    <w:rsid w:val="008657F2"/>
    <w:rsid w:val="008924DB"/>
    <w:rsid w:val="008B640F"/>
    <w:rsid w:val="008E744B"/>
    <w:rsid w:val="00947D50"/>
    <w:rsid w:val="00962887"/>
    <w:rsid w:val="009D0063"/>
    <w:rsid w:val="009D1675"/>
    <w:rsid w:val="00A460AC"/>
    <w:rsid w:val="00A56032"/>
    <w:rsid w:val="00A83347"/>
    <w:rsid w:val="00B002E0"/>
    <w:rsid w:val="00B36C67"/>
    <w:rsid w:val="00B60210"/>
    <w:rsid w:val="00B9071F"/>
    <w:rsid w:val="00BB1A9F"/>
    <w:rsid w:val="00BC09BF"/>
    <w:rsid w:val="00C25971"/>
    <w:rsid w:val="00C3266F"/>
    <w:rsid w:val="00CF1EF1"/>
    <w:rsid w:val="00CF6864"/>
    <w:rsid w:val="00D151F4"/>
    <w:rsid w:val="00D42F56"/>
    <w:rsid w:val="00D45777"/>
    <w:rsid w:val="00D61A8F"/>
    <w:rsid w:val="00D777FB"/>
    <w:rsid w:val="00DC7858"/>
    <w:rsid w:val="00DD7BB4"/>
    <w:rsid w:val="00DE1894"/>
    <w:rsid w:val="00E36117"/>
    <w:rsid w:val="00E52DAA"/>
    <w:rsid w:val="00E71AE2"/>
    <w:rsid w:val="00EE7885"/>
    <w:rsid w:val="00F171E9"/>
    <w:rsid w:val="00F5218E"/>
    <w:rsid w:val="00F96068"/>
    <w:rsid w:val="00FA79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E133"/>
  <w15:chartTrackingRefBased/>
  <w15:docId w15:val="{72A6AC11-02F3-4196-8207-55D0BB2E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A79A1"/>
    <w:pPr>
      <w:spacing w:after="0" w:line="240" w:lineRule="auto"/>
    </w:pPr>
    <w:rPr>
      <w:rFonts w:ascii="Times New Roman" w:eastAsia="Times New Roman" w:hAnsi="Times New Roman" w:cs="Times New Roman"/>
      <w:kern w:val="0"/>
      <w:sz w:val="24"/>
      <w:szCs w:val="24"/>
      <w14:ligatures w14:val="none"/>
    </w:rPr>
  </w:style>
  <w:style w:type="paragraph" w:styleId="Pealkiri1">
    <w:name w:val="heading 1"/>
    <w:basedOn w:val="Normaallaad"/>
    <w:next w:val="Normaallaad"/>
    <w:link w:val="Pealkiri1Mrk"/>
    <w:uiPriority w:val="9"/>
    <w:qFormat/>
    <w:rsid w:val="00FA7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A7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A79A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A79A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A79A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A79A1"/>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A79A1"/>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A79A1"/>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A79A1"/>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A79A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A79A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A79A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A79A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A79A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A79A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A79A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A79A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A79A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A79A1"/>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A79A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A79A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A79A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A79A1"/>
    <w:pPr>
      <w:spacing w:before="160"/>
      <w:jc w:val="center"/>
    </w:pPr>
    <w:rPr>
      <w:i/>
      <w:iCs/>
      <w:color w:val="404040" w:themeColor="text1" w:themeTint="BF"/>
    </w:rPr>
  </w:style>
  <w:style w:type="character" w:customStyle="1" w:styleId="TsitaatMrk">
    <w:name w:val="Tsitaat Märk"/>
    <w:basedOn w:val="Liguvaikefont"/>
    <w:link w:val="Tsitaat"/>
    <w:uiPriority w:val="29"/>
    <w:rsid w:val="00FA79A1"/>
    <w:rPr>
      <w:i/>
      <w:iCs/>
      <w:color w:val="404040" w:themeColor="text1" w:themeTint="BF"/>
    </w:rPr>
  </w:style>
  <w:style w:type="paragraph" w:styleId="Loendilik">
    <w:name w:val="List Paragraph"/>
    <w:basedOn w:val="Normaallaad"/>
    <w:uiPriority w:val="34"/>
    <w:qFormat/>
    <w:rsid w:val="00FA79A1"/>
    <w:pPr>
      <w:ind w:left="720"/>
      <w:contextualSpacing/>
    </w:pPr>
  </w:style>
  <w:style w:type="character" w:styleId="Selgeltmrgatavrhutus">
    <w:name w:val="Intense Emphasis"/>
    <w:basedOn w:val="Liguvaikefont"/>
    <w:uiPriority w:val="21"/>
    <w:qFormat/>
    <w:rsid w:val="00FA79A1"/>
    <w:rPr>
      <w:i/>
      <w:iCs/>
      <w:color w:val="0F4761" w:themeColor="accent1" w:themeShade="BF"/>
    </w:rPr>
  </w:style>
  <w:style w:type="paragraph" w:styleId="Selgeltmrgatavtsitaat">
    <w:name w:val="Intense Quote"/>
    <w:basedOn w:val="Normaallaad"/>
    <w:next w:val="Normaallaad"/>
    <w:link w:val="SelgeltmrgatavtsitaatMrk"/>
    <w:uiPriority w:val="30"/>
    <w:qFormat/>
    <w:rsid w:val="00FA7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A79A1"/>
    <w:rPr>
      <w:i/>
      <w:iCs/>
      <w:color w:val="0F4761" w:themeColor="accent1" w:themeShade="BF"/>
    </w:rPr>
  </w:style>
  <w:style w:type="character" w:styleId="Selgeltmrgatavviide">
    <w:name w:val="Intense Reference"/>
    <w:basedOn w:val="Liguvaikefont"/>
    <w:uiPriority w:val="32"/>
    <w:qFormat/>
    <w:rsid w:val="00FA79A1"/>
    <w:rPr>
      <w:b/>
      <w:bCs/>
      <w:smallCaps/>
      <w:color w:val="0F4761" w:themeColor="accent1" w:themeShade="BF"/>
      <w:spacing w:val="5"/>
    </w:rPr>
  </w:style>
  <w:style w:type="paragraph" w:styleId="Pis">
    <w:name w:val="header"/>
    <w:basedOn w:val="Normaallaad"/>
    <w:link w:val="PisMrk"/>
    <w:uiPriority w:val="99"/>
    <w:rsid w:val="00FA79A1"/>
    <w:pPr>
      <w:tabs>
        <w:tab w:val="center" w:pos="4536"/>
        <w:tab w:val="right" w:pos="9072"/>
      </w:tabs>
    </w:pPr>
    <w:rPr>
      <w:szCs w:val="20"/>
    </w:rPr>
  </w:style>
  <w:style w:type="character" w:customStyle="1" w:styleId="PisMrk">
    <w:name w:val="Päis Märk"/>
    <w:basedOn w:val="Liguvaikefont"/>
    <w:link w:val="Pis"/>
    <w:uiPriority w:val="99"/>
    <w:rsid w:val="00FA79A1"/>
    <w:rPr>
      <w:rFonts w:ascii="Times New Roman" w:eastAsia="Times New Roman" w:hAnsi="Times New Roman" w:cs="Times New Roman"/>
      <w:kern w:val="0"/>
      <w:sz w:val="24"/>
      <w:szCs w:val="20"/>
      <w14:ligatures w14:val="none"/>
    </w:rPr>
  </w:style>
  <w:style w:type="paragraph" w:styleId="Vahedeta">
    <w:name w:val="No Spacing"/>
    <w:uiPriority w:val="1"/>
    <w:qFormat/>
    <w:rsid w:val="00FA79A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F442DD-6BCB-4D35-AA53-F958E72732CC}">
  <we:reference id="wa104381077" version="1.0.0.7" store="et-EE" storeType="OMEX"/>
  <we:alternateReferences>
    <we:reference id="wa104381077" version="1.0.0.7" store="et-E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3</Pages>
  <Words>950</Words>
  <Characters>5515</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Valem</dc:creator>
  <cp:keywords/>
  <dc:description/>
  <cp:lastModifiedBy>Nele Teelahk</cp:lastModifiedBy>
  <cp:revision>7</cp:revision>
  <dcterms:created xsi:type="dcterms:W3CDTF">2025-04-14T15:56:00Z</dcterms:created>
  <dcterms:modified xsi:type="dcterms:W3CDTF">2025-04-15T10:17:00Z</dcterms:modified>
</cp:coreProperties>
</file>